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6 Orange Supply List</w:t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(2) two pocket folders </w:t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- 2 spiral bound notebooks</w:t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pencils (please replenish through the year)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soft pencil pouch (washable if possible) 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highlighters</w:t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pencil sharpener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clipboard 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flexible ruler (clear if possible)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Colored pencils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Crayons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Markers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- 1 thin black Sharpie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Scissors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glue sticks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pair of inexpensive earbuds with microphone and labeled plastic bag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mask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extra mask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labeled plastic Ziploc bag or brown bag for the mask at lunch each day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filled water bottle – no water fountains but students can refill in the sink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Optional Items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extra Ziploc sandwich bags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tissues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paper towels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clorox wipes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magic erasers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a1a1a"/>
          <w:sz w:val="26"/>
          <w:szCs w:val="26"/>
          <w:rtl w:val="0"/>
        </w:rPr>
        <w:t xml:space="preserve">- hand sanitizer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1E7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567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zict0daPlZKaMnfUBXGmE+zKg==">AMUW2mUYFbuxaPt/itnDjtOpxtAceuZOOMqzl5Y7hiO9QR2uBh6MN0dfPE3QEQUksdIzAYruTofkCWZ5kCxzQ1xfRkQjei2s9hnHrCmJWqB7EzW8+9cSG2DL7NBNgcm65qwBgFGojaHK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2020-09-07T11:50:00Z</dcterms:created>
  <dc:creator>Itams</dc:creator>
</cp:coreProperties>
</file>